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14" w:rsidRDefault="00622014">
      <w:pPr>
        <w:pStyle w:val="ConsPlusNormal"/>
        <w:jc w:val="both"/>
        <w:outlineLvl w:val="0"/>
      </w:pPr>
    </w:p>
    <w:p w:rsidR="00622014" w:rsidRDefault="00622014">
      <w:pPr>
        <w:pStyle w:val="ConsPlusNormal"/>
        <w:outlineLvl w:val="0"/>
      </w:pPr>
      <w:r>
        <w:t>Зарегистрировано в Минюсте России 8 июня 2022 г. N 68783</w:t>
      </w:r>
    </w:p>
    <w:p w:rsidR="00622014" w:rsidRDefault="00622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014" w:rsidRDefault="00622014">
      <w:pPr>
        <w:pStyle w:val="ConsPlusNormal"/>
        <w:jc w:val="both"/>
      </w:pPr>
    </w:p>
    <w:p w:rsidR="00622014" w:rsidRDefault="00622014">
      <w:pPr>
        <w:pStyle w:val="ConsPlusTitle"/>
        <w:jc w:val="center"/>
      </w:pPr>
      <w:r>
        <w:t>МИНИСТЕРСТВО СТРОИТЕЛЬСТВА И ЖИЛИЩНО-КОММУНАЛЬНОГО</w:t>
      </w:r>
    </w:p>
    <w:p w:rsidR="00622014" w:rsidRDefault="00622014">
      <w:pPr>
        <w:pStyle w:val="ConsPlusTitle"/>
        <w:jc w:val="center"/>
      </w:pPr>
      <w:r>
        <w:t>ХОЗЯЙСТВА РОССИЙСКОЙ ФЕДЕРАЦИИ</w:t>
      </w:r>
    </w:p>
    <w:p w:rsidR="00622014" w:rsidRDefault="00622014">
      <w:pPr>
        <w:pStyle w:val="ConsPlusTitle"/>
        <w:jc w:val="center"/>
      </w:pPr>
    </w:p>
    <w:p w:rsidR="00622014" w:rsidRDefault="00622014">
      <w:pPr>
        <w:pStyle w:val="ConsPlusTitle"/>
        <w:jc w:val="center"/>
      </w:pPr>
      <w:r>
        <w:t>ПРИКАЗ</w:t>
      </w:r>
    </w:p>
    <w:p w:rsidR="00622014" w:rsidRDefault="00622014">
      <w:pPr>
        <w:pStyle w:val="ConsPlusTitle"/>
        <w:jc w:val="center"/>
      </w:pPr>
      <w:r>
        <w:t>от 21 апреля 2022 г. N 307/пр</w:t>
      </w:r>
    </w:p>
    <w:p w:rsidR="00622014" w:rsidRDefault="00622014">
      <w:pPr>
        <w:pStyle w:val="ConsPlusTitle"/>
        <w:jc w:val="center"/>
      </w:pPr>
    </w:p>
    <w:p w:rsidR="00622014" w:rsidRDefault="00622014">
      <w:pPr>
        <w:pStyle w:val="ConsPlusTitle"/>
        <w:jc w:val="center"/>
      </w:pPr>
      <w:r>
        <w:t>ОБ УТВЕРЖДЕНИИ ФОРМЫ ЗАДАНИЯ</w:t>
      </w:r>
    </w:p>
    <w:p w:rsidR="00622014" w:rsidRDefault="00622014">
      <w:pPr>
        <w:pStyle w:val="ConsPlusTitle"/>
        <w:jc w:val="center"/>
      </w:pPr>
      <w:r>
        <w:t>ЗАСТРОЙЩИКА ИЛИ ТЕХНИЧЕСКОГО ЗАКАЗЧИКА НА ПРОЕКТИРОВАНИЕ</w:t>
      </w:r>
    </w:p>
    <w:p w:rsidR="00622014" w:rsidRDefault="00622014">
      <w:pPr>
        <w:pStyle w:val="ConsPlusTitle"/>
        <w:jc w:val="center"/>
      </w:pPr>
      <w:r>
        <w:t>ОБЪЕКТА КАПИТАЛЬНОГО СТРОИТЕЛЬСТВА, СТРОИТЕЛЬСТВО,</w:t>
      </w:r>
    </w:p>
    <w:p w:rsidR="00622014" w:rsidRDefault="00622014">
      <w:pPr>
        <w:pStyle w:val="ConsPlusTitle"/>
        <w:jc w:val="center"/>
      </w:pPr>
      <w:r>
        <w:t>РЕКОНСТРУКЦИЯ, КАПИТАЛЬНЫЙ РЕМОНТ КОТОРОГО ОСУЩЕСТВЛЯЮТСЯ</w:t>
      </w:r>
    </w:p>
    <w:p w:rsidR="00622014" w:rsidRDefault="00622014">
      <w:pPr>
        <w:pStyle w:val="ConsPlusTitle"/>
        <w:jc w:val="center"/>
      </w:pPr>
      <w:r>
        <w:t>С ПРИВЛЕЧЕНИЕМ СРЕДСТВ БЮДЖЕТНОЙ СИСТЕМЫ</w:t>
      </w:r>
    </w:p>
    <w:p w:rsidR="00622014" w:rsidRDefault="00622014">
      <w:pPr>
        <w:pStyle w:val="ConsPlusTitle"/>
        <w:jc w:val="center"/>
      </w:pPr>
      <w:r>
        <w:t>РОССИЙСКОЙ ФЕДЕРАЦИИ</w:t>
      </w:r>
    </w:p>
    <w:p w:rsidR="00622014" w:rsidRDefault="00622014">
      <w:pPr>
        <w:pStyle w:val="ConsPlusNormal"/>
        <w:jc w:val="both"/>
      </w:pPr>
    </w:p>
    <w:p w:rsidR="00622014" w:rsidRDefault="0062201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12.4 статьи 48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2021, N 50, ст. 8415) и </w:t>
      </w:r>
      <w:hyperlink r:id="rId7" w:history="1">
        <w:r>
          <w:rPr>
            <w:color w:val="0000FF"/>
          </w:rPr>
          <w:t>подпунктом 5.2.101(36)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2022, N 11, ст. 1714), приказываю:</w:t>
      </w:r>
    </w:p>
    <w:p w:rsidR="00622014" w:rsidRDefault="00622014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5" w:tooltip="Задание" w:history="1">
        <w:r>
          <w:rPr>
            <w:color w:val="0000FF"/>
          </w:rPr>
          <w:t>Форму</w:t>
        </w:r>
      </w:hyperlink>
      <w:r>
        <w:t xml:space="preserve">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Федерации, согласно приложению к настоящему приказу.</w:t>
      </w:r>
    </w:p>
    <w:p w:rsidR="00622014" w:rsidRDefault="00622014">
      <w:pPr>
        <w:pStyle w:val="ConsPlusNormal"/>
        <w:jc w:val="both"/>
      </w:pPr>
    </w:p>
    <w:p w:rsidR="00622014" w:rsidRDefault="00622014">
      <w:pPr>
        <w:pStyle w:val="ConsPlusNormal"/>
        <w:jc w:val="right"/>
      </w:pPr>
      <w:r>
        <w:t>Министр</w:t>
      </w:r>
    </w:p>
    <w:p w:rsidR="00622014" w:rsidRDefault="00622014">
      <w:pPr>
        <w:pStyle w:val="ConsPlusNormal"/>
        <w:jc w:val="right"/>
      </w:pPr>
      <w:r>
        <w:t>И.Э.ФАЙЗУЛЛИН</w:t>
      </w:r>
    </w:p>
    <w:p w:rsidR="00622014" w:rsidRDefault="00622014">
      <w:pPr>
        <w:pStyle w:val="ConsPlusNormal"/>
        <w:jc w:val="both"/>
      </w:pPr>
    </w:p>
    <w:p w:rsidR="00622014" w:rsidRDefault="00622014">
      <w:pPr>
        <w:pStyle w:val="ConsPlusNormal"/>
        <w:jc w:val="both"/>
      </w:pPr>
    </w:p>
    <w:p w:rsidR="00622014" w:rsidRDefault="00622014">
      <w:pPr>
        <w:pStyle w:val="ConsPlusNormal"/>
        <w:jc w:val="both"/>
      </w:pPr>
    </w:p>
    <w:p w:rsidR="00622014" w:rsidRDefault="00622014">
      <w:pPr>
        <w:pStyle w:val="ConsPlusNormal"/>
        <w:jc w:val="both"/>
      </w:pPr>
    </w:p>
    <w:p w:rsidR="00622014" w:rsidRDefault="00622014">
      <w:pPr>
        <w:pStyle w:val="ConsPlusNormal"/>
        <w:jc w:val="both"/>
      </w:pPr>
    </w:p>
    <w:p w:rsidR="00596EED" w:rsidRDefault="00596EED">
      <w:pPr>
        <w:pStyle w:val="ConsPlusNormal"/>
        <w:jc w:val="right"/>
        <w:outlineLvl w:val="0"/>
      </w:pPr>
    </w:p>
    <w:p w:rsidR="00596EED" w:rsidRDefault="00596EED">
      <w:pPr>
        <w:pStyle w:val="ConsPlusNormal"/>
        <w:jc w:val="right"/>
        <w:outlineLvl w:val="0"/>
      </w:pPr>
    </w:p>
    <w:p w:rsidR="00596EED" w:rsidRDefault="00596EED">
      <w:pPr>
        <w:pStyle w:val="ConsPlusNormal"/>
        <w:jc w:val="right"/>
        <w:outlineLvl w:val="0"/>
      </w:pPr>
    </w:p>
    <w:p w:rsidR="00596EED" w:rsidRDefault="00596EED">
      <w:pPr>
        <w:pStyle w:val="ConsPlusNormal"/>
        <w:jc w:val="right"/>
        <w:outlineLvl w:val="0"/>
      </w:pPr>
    </w:p>
    <w:p w:rsidR="00596EED" w:rsidRDefault="00596EED">
      <w:pPr>
        <w:pStyle w:val="ConsPlusNormal"/>
        <w:jc w:val="right"/>
        <w:outlineLvl w:val="0"/>
      </w:pPr>
    </w:p>
    <w:p w:rsidR="00596EED" w:rsidRDefault="00596EED">
      <w:pPr>
        <w:pStyle w:val="ConsPlusNormal"/>
        <w:jc w:val="right"/>
        <w:outlineLvl w:val="0"/>
      </w:pPr>
    </w:p>
    <w:p w:rsidR="00596EED" w:rsidRDefault="00596EED">
      <w:pPr>
        <w:pStyle w:val="ConsPlusNormal"/>
        <w:jc w:val="right"/>
        <w:outlineLvl w:val="0"/>
      </w:pPr>
    </w:p>
    <w:p w:rsidR="00596EED" w:rsidRDefault="00596EED">
      <w:pPr>
        <w:pStyle w:val="ConsPlusNormal"/>
        <w:jc w:val="right"/>
        <w:outlineLvl w:val="0"/>
      </w:pPr>
    </w:p>
    <w:p w:rsidR="00596EED" w:rsidRDefault="00596EED">
      <w:pPr>
        <w:pStyle w:val="ConsPlusNormal"/>
        <w:jc w:val="right"/>
        <w:outlineLvl w:val="0"/>
      </w:pPr>
    </w:p>
    <w:p w:rsidR="00596EED" w:rsidRDefault="00596EED">
      <w:pPr>
        <w:pStyle w:val="ConsPlusNormal"/>
        <w:jc w:val="right"/>
        <w:outlineLvl w:val="0"/>
      </w:pPr>
    </w:p>
    <w:p w:rsidR="00596EED" w:rsidRDefault="00596EED">
      <w:pPr>
        <w:pStyle w:val="ConsPlusNormal"/>
        <w:jc w:val="right"/>
        <w:outlineLvl w:val="0"/>
      </w:pPr>
    </w:p>
    <w:p w:rsidR="005345FC" w:rsidRDefault="005345FC">
      <w:pPr>
        <w:pStyle w:val="ConsPlusNormal"/>
        <w:jc w:val="right"/>
        <w:outlineLvl w:val="0"/>
      </w:pPr>
    </w:p>
    <w:p w:rsidR="005345FC" w:rsidRDefault="005345FC">
      <w:pPr>
        <w:pStyle w:val="ConsPlusNormal"/>
        <w:jc w:val="right"/>
        <w:outlineLvl w:val="0"/>
      </w:pPr>
    </w:p>
    <w:p w:rsidR="005345FC" w:rsidRDefault="005345FC">
      <w:pPr>
        <w:pStyle w:val="ConsPlusNormal"/>
        <w:jc w:val="right"/>
        <w:outlineLvl w:val="0"/>
      </w:pPr>
    </w:p>
    <w:p w:rsidR="00622014" w:rsidRDefault="00622014">
      <w:pPr>
        <w:pStyle w:val="ConsPlusNormal"/>
        <w:jc w:val="right"/>
        <w:outlineLvl w:val="0"/>
      </w:pPr>
      <w:r>
        <w:lastRenderedPageBreak/>
        <w:t>Утверждена</w:t>
      </w:r>
    </w:p>
    <w:p w:rsidR="00622014" w:rsidRDefault="00622014">
      <w:pPr>
        <w:pStyle w:val="ConsPlusNormal"/>
        <w:jc w:val="right"/>
      </w:pPr>
      <w:r>
        <w:t>приказом Министерства строительства</w:t>
      </w:r>
    </w:p>
    <w:p w:rsidR="00622014" w:rsidRDefault="00622014">
      <w:pPr>
        <w:pStyle w:val="ConsPlusNormal"/>
        <w:jc w:val="right"/>
      </w:pPr>
      <w:r>
        <w:t>и жилищно-коммунального хозяйства</w:t>
      </w:r>
    </w:p>
    <w:p w:rsidR="00622014" w:rsidRDefault="00622014">
      <w:pPr>
        <w:pStyle w:val="ConsPlusNormal"/>
        <w:jc w:val="right"/>
      </w:pPr>
      <w:r>
        <w:t>Российской Федерации</w:t>
      </w:r>
    </w:p>
    <w:p w:rsidR="00622014" w:rsidRDefault="00622014">
      <w:pPr>
        <w:pStyle w:val="ConsPlusNormal"/>
        <w:jc w:val="right"/>
      </w:pPr>
      <w:r>
        <w:t>от 21 апреля 2022 г. N 307/пр</w:t>
      </w:r>
    </w:p>
    <w:p w:rsidR="00622014" w:rsidRDefault="00622014">
      <w:pPr>
        <w:pStyle w:val="ConsPlusNormal"/>
        <w:jc w:val="both"/>
      </w:pPr>
    </w:p>
    <w:p w:rsidR="00622014" w:rsidRDefault="00622014">
      <w:pPr>
        <w:pStyle w:val="ConsPlusNormal"/>
        <w:jc w:val="right"/>
      </w:pPr>
      <w:r>
        <w:t>Форма</w:t>
      </w:r>
    </w:p>
    <w:p w:rsidR="00622014" w:rsidRDefault="006220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jc w:val="center"/>
            </w:pPr>
            <w:bookmarkStart w:id="0" w:name="Par35"/>
            <w:bookmarkEnd w:id="0"/>
            <w:r>
              <w:t>Задание</w:t>
            </w:r>
          </w:p>
          <w:p w:rsidR="00622014" w:rsidRDefault="00622014">
            <w:pPr>
              <w:pStyle w:val="ConsPlusNormal"/>
              <w:jc w:val="center"/>
            </w:pPr>
            <w:r>
              <w:t xml:space="preserve">застройщика или технического заказчика </w:t>
            </w:r>
            <w:hyperlink w:anchor="Par308" w:tooltip="&lt;1&gt; Указывается лицо, осуществляющее подготовку задания на проектирование (застройщик или технический заказчик)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проектирование объекта капитального строительства, строительство, реконструкция, </w:t>
            </w:r>
            <w:bookmarkStart w:id="1" w:name="_GoBack"/>
            <w:bookmarkEnd w:id="1"/>
            <w:r>
              <w:t>капитальный ремонт которого осуществляются с привлечением средств бюджетной системы Российской Федерации</w:t>
            </w:r>
          </w:p>
          <w:p w:rsidR="00622014" w:rsidRDefault="00622014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622014" w:rsidRDefault="00622014">
            <w:pPr>
              <w:pStyle w:val="ConsPlusNormal"/>
              <w:jc w:val="center"/>
            </w:pPr>
            <w:r>
              <w:t>(наименование и адрес (местонахождение) объекта</w:t>
            </w:r>
          </w:p>
          <w:p w:rsidR="00622014" w:rsidRDefault="00622014">
            <w:pPr>
              <w:pStyle w:val="ConsPlusNormal"/>
              <w:jc w:val="center"/>
            </w:pPr>
            <w:r>
              <w:t>капитального строительства (далее - объект)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jc w:val="center"/>
              <w:outlineLvl w:val="1"/>
            </w:pPr>
            <w:r>
              <w:t>I. Общие данные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1. Основание для проектирования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 xml:space="preserve">(указываются реквизиты документов, на основании которых принято решение о разработке проектной документации, приведенные в </w:t>
            </w:r>
            <w:hyperlink r:id="rId8" w:history="1">
              <w:r>
                <w:rPr>
                  <w:color w:val="0000FF"/>
                </w:rPr>
                <w:t>подпункте "а" пункта 10</w:t>
              </w:r>
            </w:hyperlink>
            <w: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2. Застройщик (технический заказчик):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3. Инвестор (при наличии):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 xml:space="preserve">4. Сведения об объекте в соответствии с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10 июля 2020 г. N 374/пр (зарегистрирован Министерством юстиции Российской Федерации 14 августа 2020 г., регистрационный N 59273):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группа, вид объекта строительства, код)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5. Вид работ: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(строительство, реконструкция, в том числе с проведением работ по сохранению объектов культурного наследия (памятников истории и культуры) народов Российской Федерации, капитальный ремонт (далее - строительство)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6. Источник и объем финансирования строительства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наименование источника финансирования, в том числе федеральный бюджет, региональный бюджет, местный бюджет, внебюджетные средства, а также объем выделенных средств)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7.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8. Требования к выделению этапов строительства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сведения о необходимости выделения этапов строительства)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9. Срок строительства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 xml:space="preserve">11. Идентификационные признаки объекта, которые устанавливаются в соответствии со </w:t>
            </w:r>
            <w:hyperlink r:id="rId10" w:history="1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5), и включают в себя: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11.1. Назначение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11.2. 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11.3. 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11.4. Принадлежность к опасным производственным объектам: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11.5. Пожарная и взрывопожарная опасность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540"/>
              <w:jc w:val="both"/>
            </w:pPr>
            <w:r>
              <w:t>(указывается категория пожарной (взрывопожарной) опасности объекта)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11.6. Наличие в объекте помещений с постоянным пребыванием людей: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 xml:space="preserve">11.7. Уровень ответственности объекта (устанавливается согласно </w:t>
            </w:r>
            <w:hyperlink r:id="rId11" w:history="1">
              <w:r>
                <w:rPr>
                  <w:color w:val="0000FF"/>
                </w:rPr>
                <w:t>пункту 7 части 1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части 7 статьи 4</w:t>
              </w:r>
            </w:hyperlink>
            <w: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(повышенный, нормальный, пониженный)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12. Требования о необходимости соответствия проектной документации обоснованию безопасности опасного производственного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13. Требования к качеству, конкурентоспособности, экологичности и энергоэффективности проектных решений: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энергоэффективности (не ниже класса "C")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14. Необходимость выполнения инженерных изысканий для подготовки проектной документации: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 xml:space="preserve">(указывается необходимость выполнения инженерных изысканий в объеме, необходимом и </w:t>
            </w:r>
            <w:r>
              <w:lastRenderedPageBreak/>
              <w:t>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lastRenderedPageBreak/>
              <w:t>15. Предполагаемая (предельная) стоимость строительства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16. Принадлежность объекта к объектам культурного наследия (памятникам истории и культуры) народов Российской Федерации: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jc w:val="center"/>
              <w:outlineLvl w:val="1"/>
            </w:pPr>
            <w:r>
              <w:t>II. Перечень основных требований к проектным решениям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17. Требования к схеме планировочной организации земельного участка: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для объектов производственного и непроизводственного назначения)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18. Требования к проекту полосы отвода: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для линейных объектов)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19. Требования к архитектурно-художественным решениям, включая требования к графическим материалам: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для объектов производственного и непроизводственного назначения)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20. Требования к технологическим решениям: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 Требования к конструктивным и объемно-планировочным решениям (указываются для объектов производственного и непроизводственного назначения):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21.1. 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lastRenderedPageBreak/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21.2. Требования к строительным конструкциям: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21.3. Требования к фундаментам: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21.4. Требования к стенам, подвалам и цокольному этажу: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21.5. Требования к наружным стенам: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21.6. Требования к внутренним стенам и перегородкам: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21.7. Требования к перекрытиям: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21.8. Требования к колоннам, ригелям: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21.9. Требования к лестницам: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21.10. Требования к полам: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22.11. Требования к кровле: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21.12. Требования к витражам, окнам: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21.13. Требования к дверям: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21.14. Требования к внутренней отделке: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21.15. Требования к наружной отделке: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21.16. Требования к обеспечению безопасности объекта при опасных природных процессах, явлениях и техногенных воздействиях: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lastRenderedPageBreak/>
              <w:t>(указывается в случае, если строительство и эксплуатация объекта планируются в сложных природных условиях)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21.17. Требования к инженерной защите территории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в случае, если строительство и эксплуатация объекта планируются в сложных природных условиях)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22. Требования к технологическим и конструктивным решениям линейного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для линейных объектов)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23. Требования к зданиям, строениям и сооружениям, входящим в инфраструктуру линейного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для линейных объектов)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 Требования к инженерно-техническим решениям (указываются при необходимости):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>24.1. Требования к основному технологическому оборудованию (указываются тип и основные характеристики по укрупненной номенклатуре, требования к составу оборудования (основное и комплектующее технологическое и вспомогательное оборудование),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>24.1.1. Отопление: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24.1.2. Вентиляция: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24.1.3. Водопровод: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24.1.4. Канализация: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24.1.5. Электроснабжение: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24.1.6. Телефонизация: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24.1.7. Радиофикация: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24.1.8. Информационно-телекоммуникационная сеть "Интернет":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24.1.9. Телевидение: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24.1.10. Газификация: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24.1.11. Автоматизация и диспетчеризация: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24.1.12. Иные сети инженерно-технического обеспечения: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>24.2.1. Водоснабжение: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24.2.2. Водоотведение: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24.2.3. Теплоснабжение: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24.2.4. Электроснабжение: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24.2.5. Телефонизация: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24.2.6. Радиофикация: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24.2.7. Информационно-телекоммуникационная сеть "Интернет":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24.2.8. Телевидение: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lastRenderedPageBreak/>
              <w:t>24.2.9. Газоснабжение: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24.2.10. Иные сети инженерно-технического обеспечения: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25. Требования к мероприятиям по охране окружающей среды: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26. Требования к мероприятиям по обеспечению пожарной безопасности: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в отношении объектов, на которые распространяются требования энергетической эффективности и требования оснащенности их приборами учета используемых энергетических ресурсов)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28. Требования к мероприятиям по обеспечению доступа маломобильных групп населения к объекту: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29. Требования к инженерно-техническому укреплению объекта в целях обеспечения его антитеррористической защищенности: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 xml:space="preserve"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требованиями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25 декабря 2013 г. N 1244 "Об антитеррористической защищенности объектов (территорий)" (Собрание законодательства Российской Федерации, 2013, N 52, ст. 7220; 2022, N 11, ст. 1683)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lastRenderedPageBreak/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регламентов, экологических и санитарно-гигиенических требований, а также с учетом функционального назначения предприятия (объекта)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31. Требования к технической эксплуатации и техническому обслуживанию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32. Требования к проекту организации строительства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33. 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34. Требования к решениям по благоустройству прилегающей территории, малым архитектурным формам и планировочной организации земельного участка: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35. Требования к разработке проекта рекультивации земель: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 xml:space="preserve">(указываются в случае необходимости проведения рекультивации земель согласно </w:t>
            </w:r>
            <w:hyperlink r:id="rId14" w:history="1">
              <w:r>
                <w:rPr>
                  <w:color w:val="0000FF"/>
                </w:rPr>
                <w:t>пункту 5 статьи 13</w:t>
              </w:r>
            </w:hyperlink>
            <w:r>
              <w:t xml:space="preserve"> Земельного кодекса Российской Федерации (Собрание законодательства Российской Федерации, 2001, N 44, ст. 4147; 2016, N 27, ст. 4267)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36. 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37. 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в случае необходимости выполнения научно-исследовательских, опытно-конструкторских работ при проектировании и строительстве объекта)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jc w:val="center"/>
              <w:outlineLvl w:val="1"/>
            </w:pPr>
            <w:r>
              <w:t>III. Иные требования к проектированию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 xml:space="preserve">(указываются в соответствии с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2021, N 50, ст. 8553) с учетом функционального назначения объекта)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39. Требования к подготовке сметной документации: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40. Требования к разработке специальных технических условий: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 xml:space="preserve">(указываются в случаях, когда разработка и применение специальных технических условий допускаются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февраля 2008 г. N 87 "О составе разделов проектной документации и требованиях к их содержанию")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41. Требования о применении при разработке проектной документации документов в области стандартизации: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42. Требования к выполнению демонстрационных материалов, макетов: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43. Требования о подготовке проектной документации, содержащей материалы в форме информационной модели (указываются при необходимости):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44. Требование о применении типовой проектной документации: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(указывается в случае принятия застройщиком (техническим заказчиком) решения о применении типовой проектной документации)</w:t>
            </w:r>
          </w:p>
        </w:tc>
      </w:tr>
      <w:tr w:rsidR="00622014" w:rsidTr="005345FC">
        <w:tc>
          <w:tcPr>
            <w:tcW w:w="10127" w:type="dxa"/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45. Прочие дополнительные требования и указания, конкретизирующие объем проектных работ (указываются при необходимости):</w:t>
            </w:r>
          </w:p>
        </w:tc>
      </w:tr>
      <w:tr w:rsidR="00622014" w:rsidTr="005345FC">
        <w:tc>
          <w:tcPr>
            <w:tcW w:w="10127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 w:rsidTr="005345FC">
        <w:tc>
          <w:tcPr>
            <w:tcW w:w="10127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ind w:firstLine="283"/>
              <w:jc w:val="both"/>
            </w:pPr>
            <w:r>
              <w:t>46. К заданию на проектирование прилагаются: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>46.1. Градостроительный план земельного участка и (или) проект планировки территории, и (или) проект межевания территории.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>46.2. 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>46.3. Технические условия подключения (технологического присоединения) объектов капитального строительства 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получение).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>46.4. Сведения о надземных и подземных инженерных сооружениях и коммуникациях (при наличии).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>46.5. Решение о предварительном согласовании места размещения объекта (при наличии).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>46.6. Документ, подтверждающий полномочия лица, утверждающего задание на проектирование.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 xml:space="preserve">46.7. Решение о подготовке документации по планировке территории (в случае, предусмотренном </w:t>
            </w:r>
            <w:hyperlink r:id="rId18" w:history="1">
              <w:r>
                <w:rPr>
                  <w:color w:val="0000FF"/>
                </w:rPr>
                <w:t>частью 11.1 статьи 48</w:t>
              </w:r>
            </w:hyperlink>
            <w:r>
              <w:t xml:space="preserve"> Градостроительного кодекса Российской Федерации (Собрание законодательства Российской Федерации, 2005, N 1, ст. 16; 2019, N 52, ст. 7790).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 xml:space="preserve">46.8. Чертеж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</w:t>
            </w:r>
            <w:hyperlink r:id="rId19" w:history="1">
              <w:r>
                <w:rPr>
                  <w:color w:val="0000FF"/>
                </w:rPr>
                <w:t>частью 11.1 статьи 48</w:t>
              </w:r>
            </w:hyperlink>
            <w:r>
              <w:t xml:space="preserve"> Градостроительного кодекса Российской Федерации).</w:t>
            </w:r>
          </w:p>
          <w:p w:rsidR="00622014" w:rsidRDefault="00622014">
            <w:pPr>
              <w:pStyle w:val="ConsPlusNormal"/>
              <w:ind w:firstLine="283"/>
              <w:jc w:val="both"/>
            </w:pPr>
            <w:r>
              <w:t>46.9. Иные документы и материалы, необходимые для проектирования, в случаях, предусмотренных законодательством Российской Федерации.</w:t>
            </w:r>
          </w:p>
        </w:tc>
      </w:tr>
    </w:tbl>
    <w:p w:rsidR="00622014" w:rsidRDefault="006220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53"/>
        <w:gridCol w:w="680"/>
        <w:gridCol w:w="396"/>
        <w:gridCol w:w="1474"/>
        <w:gridCol w:w="340"/>
        <w:gridCol w:w="2494"/>
      </w:tblGrid>
      <w:tr w:rsidR="00622014">
        <w:tc>
          <w:tcPr>
            <w:tcW w:w="4364" w:type="dxa"/>
            <w:gridSpan w:val="3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  <w:tc>
          <w:tcPr>
            <w:tcW w:w="396" w:type="dxa"/>
          </w:tcPr>
          <w:p w:rsidR="00622014" w:rsidRDefault="00622014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  <w:tc>
          <w:tcPr>
            <w:tcW w:w="340" w:type="dxa"/>
          </w:tcPr>
          <w:p w:rsidR="00622014" w:rsidRDefault="00622014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22014" w:rsidRDefault="00622014">
            <w:pPr>
              <w:pStyle w:val="ConsPlusNormal"/>
            </w:pPr>
          </w:p>
        </w:tc>
      </w:tr>
      <w:tr w:rsidR="00622014">
        <w:tc>
          <w:tcPr>
            <w:tcW w:w="4364" w:type="dxa"/>
            <w:gridSpan w:val="3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(должность уполномоченного лица застройщика (технического заказчика), осуществляющего подготовку задания на проектирование)</w:t>
            </w:r>
          </w:p>
        </w:tc>
        <w:tc>
          <w:tcPr>
            <w:tcW w:w="396" w:type="dxa"/>
          </w:tcPr>
          <w:p w:rsidR="00622014" w:rsidRDefault="0062201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22014" w:rsidRDefault="0062201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622014" w:rsidRDefault="0062201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22014">
        <w:tc>
          <w:tcPr>
            <w:tcW w:w="3231" w:type="dxa"/>
          </w:tcPr>
          <w:p w:rsidR="00622014" w:rsidRDefault="00622014">
            <w:pPr>
              <w:pStyle w:val="ConsPlusNormal"/>
            </w:pPr>
            <w:r>
              <w:t>"__" ____________________</w:t>
            </w:r>
          </w:p>
        </w:tc>
        <w:tc>
          <w:tcPr>
            <w:tcW w:w="453" w:type="dxa"/>
          </w:tcPr>
          <w:p w:rsidR="00622014" w:rsidRDefault="0062201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80" w:type="dxa"/>
          </w:tcPr>
          <w:p w:rsidR="00622014" w:rsidRDefault="00622014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396" w:type="dxa"/>
          </w:tcPr>
          <w:p w:rsidR="00622014" w:rsidRDefault="00622014">
            <w:pPr>
              <w:pStyle w:val="ConsPlusNormal"/>
            </w:pPr>
          </w:p>
        </w:tc>
        <w:tc>
          <w:tcPr>
            <w:tcW w:w="1474" w:type="dxa"/>
          </w:tcPr>
          <w:p w:rsidR="00622014" w:rsidRDefault="00622014">
            <w:pPr>
              <w:pStyle w:val="ConsPlusNormal"/>
            </w:pPr>
          </w:p>
        </w:tc>
        <w:tc>
          <w:tcPr>
            <w:tcW w:w="340" w:type="dxa"/>
          </w:tcPr>
          <w:p w:rsidR="00622014" w:rsidRDefault="00622014">
            <w:pPr>
              <w:pStyle w:val="ConsPlusNormal"/>
            </w:pPr>
          </w:p>
        </w:tc>
        <w:tc>
          <w:tcPr>
            <w:tcW w:w="2494" w:type="dxa"/>
          </w:tcPr>
          <w:p w:rsidR="00622014" w:rsidRDefault="00622014">
            <w:pPr>
              <w:pStyle w:val="ConsPlusNormal"/>
            </w:pPr>
          </w:p>
        </w:tc>
      </w:tr>
    </w:tbl>
    <w:p w:rsidR="00622014" w:rsidRDefault="00622014">
      <w:pPr>
        <w:pStyle w:val="ConsPlusNormal"/>
        <w:jc w:val="both"/>
      </w:pPr>
    </w:p>
    <w:p w:rsidR="00622014" w:rsidRDefault="00622014">
      <w:pPr>
        <w:pStyle w:val="ConsPlusNormal"/>
        <w:ind w:firstLine="540"/>
        <w:jc w:val="both"/>
      </w:pPr>
      <w:r>
        <w:t>--------------------------------</w:t>
      </w:r>
    </w:p>
    <w:p w:rsidR="00622014" w:rsidRDefault="00622014">
      <w:pPr>
        <w:pStyle w:val="ConsPlusNormal"/>
        <w:spacing w:before="240"/>
        <w:ind w:firstLine="540"/>
        <w:jc w:val="both"/>
      </w:pPr>
      <w:bookmarkStart w:id="2" w:name="Par308"/>
      <w:bookmarkEnd w:id="2"/>
      <w:r>
        <w:t>&lt;1&gt; Указывается лицо, осуществляющее подготовку задания на проектирование (застройщик или технический заказчик)</w:t>
      </w:r>
    </w:p>
    <w:p w:rsidR="00622014" w:rsidRDefault="00622014">
      <w:pPr>
        <w:pStyle w:val="ConsPlusNormal"/>
        <w:jc w:val="both"/>
      </w:pPr>
    </w:p>
    <w:p w:rsidR="00622014" w:rsidRDefault="00622014">
      <w:pPr>
        <w:pStyle w:val="ConsPlusNormal"/>
        <w:jc w:val="both"/>
      </w:pPr>
    </w:p>
    <w:p w:rsidR="00622014" w:rsidRDefault="00622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201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DD" w:rsidRDefault="00D672DD">
      <w:pPr>
        <w:spacing w:after="0" w:line="240" w:lineRule="auto"/>
      </w:pPr>
      <w:r>
        <w:separator/>
      </w:r>
    </w:p>
  </w:endnote>
  <w:endnote w:type="continuationSeparator" w:id="0">
    <w:p w:rsidR="00D672DD" w:rsidRDefault="00D6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DD" w:rsidRDefault="00D672DD">
      <w:pPr>
        <w:spacing w:after="0" w:line="240" w:lineRule="auto"/>
      </w:pPr>
      <w:r>
        <w:separator/>
      </w:r>
    </w:p>
  </w:footnote>
  <w:footnote w:type="continuationSeparator" w:id="0">
    <w:p w:rsidR="00D672DD" w:rsidRDefault="00D67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C8"/>
    <w:rsid w:val="005345FC"/>
    <w:rsid w:val="00596EED"/>
    <w:rsid w:val="00622014"/>
    <w:rsid w:val="009B03EE"/>
    <w:rsid w:val="00D65EC8"/>
    <w:rsid w:val="00D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37224F-9BD0-4BB1-838D-26EBF18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534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5FC"/>
  </w:style>
  <w:style w:type="paragraph" w:styleId="a5">
    <w:name w:val="footer"/>
    <w:basedOn w:val="a"/>
    <w:link w:val="a6"/>
    <w:uiPriority w:val="99"/>
    <w:rsid w:val="00534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02490&amp;date=15.06.2022&amp;dst=100046&amp;field=134" TargetMode="External"/><Relationship Id="rId13" Type="http://schemas.openxmlformats.org/officeDocument/2006/relationships/hyperlink" Target="https://login.consultant.ru/link/?req=doc&amp;demo=2&amp;base=LAW&amp;n=411022&amp;date=15.06.2022" TargetMode="External"/><Relationship Id="rId18" Type="http://schemas.openxmlformats.org/officeDocument/2006/relationships/hyperlink" Target="https://login.consultant.ru/link/?req=doc&amp;demo=2&amp;base=LAW&amp;n=416268&amp;date=15.06.2022&amp;dst=102037&amp;fie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418424&amp;date=15.06.2022&amp;dst=133&amp;field=134" TargetMode="External"/><Relationship Id="rId12" Type="http://schemas.openxmlformats.org/officeDocument/2006/relationships/hyperlink" Target="https://login.consultant.ru/link/?req=doc&amp;demo=2&amp;base=LAW&amp;n=148719&amp;date=15.06.2022&amp;dst=100075&amp;field=134" TargetMode="External"/><Relationship Id="rId17" Type="http://schemas.openxmlformats.org/officeDocument/2006/relationships/hyperlink" Target="https://login.consultant.ru/link/?req=doc&amp;demo=2&amp;base=LAW&amp;n=402490&amp;date=15.06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148719&amp;date=15.06.20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6268&amp;date=15.06.2022&amp;dst=3803&amp;field=134" TargetMode="External"/><Relationship Id="rId11" Type="http://schemas.openxmlformats.org/officeDocument/2006/relationships/hyperlink" Target="https://login.consultant.ru/link/?req=doc&amp;demo=2&amp;base=LAW&amp;n=148719&amp;date=15.06.2022&amp;dst=10006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02490&amp;date=15.06.2022" TargetMode="External"/><Relationship Id="rId10" Type="http://schemas.openxmlformats.org/officeDocument/2006/relationships/hyperlink" Target="https://login.consultant.ru/link/?req=doc&amp;demo=2&amp;base=LAW&amp;n=148719&amp;date=15.06.2022&amp;dst=100061&amp;field=134" TargetMode="External"/><Relationship Id="rId19" Type="http://schemas.openxmlformats.org/officeDocument/2006/relationships/hyperlink" Target="https://login.consultant.ru/link/?req=doc&amp;demo=2&amp;base=LAW&amp;n=416268&amp;date=15.06.2022&amp;dst=10203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59976&amp;date=15.06.2022&amp;dst=100010&amp;field=134" TargetMode="External"/><Relationship Id="rId14" Type="http://schemas.openxmlformats.org/officeDocument/2006/relationships/hyperlink" Target="https://login.consultant.ru/link/?req=doc&amp;demo=2&amp;base=LAW&amp;n=417875&amp;date=15.06.2022&amp;dst=155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3346</Words>
  <Characters>19078</Characters>
  <Application>Microsoft Office Word</Application>
  <DocSecurity>2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21.04.2022 N 307/пр"Об утверждении Формы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</vt:lpstr>
    </vt:vector>
  </TitlesOfParts>
  <Company>КонсультантПлюс Версия 4021.00.50</Company>
  <LinksUpToDate>false</LinksUpToDate>
  <CharactersWithSpaces>22380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21.04.2022 N 307/пр"Об утверждении Формы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</dc:title>
  <dc:subject/>
  <dc:creator>Марина В. Косолапенкова</dc:creator>
  <cp:keywords/>
  <dc:description/>
  <cp:lastModifiedBy>Алексей И. Мавлин</cp:lastModifiedBy>
  <cp:revision>2</cp:revision>
  <dcterms:created xsi:type="dcterms:W3CDTF">2023-03-13T07:26:00Z</dcterms:created>
  <dcterms:modified xsi:type="dcterms:W3CDTF">2023-03-13T07:26:00Z</dcterms:modified>
</cp:coreProperties>
</file>